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0E1E28"/>
    <w:p w:rsidR="001D04C9" w:rsidRDefault="001D04C9"/>
    <w:p w:rsidR="001D04C9" w:rsidRDefault="001D04C9"/>
    <w:p w:rsidR="001D04C9" w:rsidRDefault="001D04C9"/>
    <w:p w:rsidR="001D04C9" w:rsidRDefault="001D04C9"/>
    <w:p w:rsidR="001D04C9" w:rsidRDefault="001D04C9"/>
    <w:p w:rsidR="001D04C9" w:rsidRDefault="001D04C9" w:rsidP="001D04C9">
      <w:pPr>
        <w:spacing w:line="480" w:lineRule="auto"/>
        <w:jc w:val="center"/>
        <w:rPr>
          <w:rFonts w:asciiTheme="majorBidi" w:hAnsiTheme="majorBidi" w:cstheme="majorBidi"/>
          <w:sz w:val="24"/>
          <w:szCs w:val="24"/>
        </w:rPr>
      </w:pPr>
      <w:r w:rsidRPr="001D04C9">
        <w:rPr>
          <w:rFonts w:asciiTheme="majorBidi" w:hAnsiTheme="majorBidi" w:cstheme="majorBidi"/>
          <w:sz w:val="24"/>
          <w:szCs w:val="24"/>
        </w:rPr>
        <w:t>People v. Lochtefeld (2000)</w:t>
      </w:r>
    </w:p>
    <w:p w:rsidR="001D04C9" w:rsidRDefault="001D04C9" w:rsidP="001D04C9">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1D04C9" w:rsidRDefault="001D04C9" w:rsidP="001D04C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Institutional Affiliation </w:t>
      </w:r>
    </w:p>
    <w:p w:rsidR="001D04C9" w:rsidRDefault="001D04C9" w:rsidP="001D04C9">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1D04C9" w:rsidRDefault="001D04C9">
      <w:pPr>
        <w:rPr>
          <w:rFonts w:asciiTheme="majorBidi" w:hAnsiTheme="majorBidi" w:cstheme="majorBidi"/>
          <w:sz w:val="24"/>
          <w:szCs w:val="24"/>
        </w:rPr>
      </w:pPr>
      <w:r>
        <w:rPr>
          <w:rFonts w:asciiTheme="majorBidi" w:hAnsiTheme="majorBidi" w:cstheme="majorBidi"/>
          <w:sz w:val="24"/>
          <w:szCs w:val="24"/>
        </w:rPr>
        <w:br w:type="page"/>
      </w:r>
    </w:p>
    <w:p w:rsidR="001D04C9" w:rsidRDefault="001D04C9" w:rsidP="001D04C9">
      <w:pPr>
        <w:spacing w:line="480" w:lineRule="auto"/>
        <w:jc w:val="center"/>
        <w:rPr>
          <w:rFonts w:asciiTheme="majorBidi" w:hAnsiTheme="majorBidi" w:cstheme="majorBidi"/>
          <w:sz w:val="24"/>
          <w:szCs w:val="24"/>
        </w:rPr>
      </w:pPr>
      <w:r w:rsidRPr="001D04C9">
        <w:rPr>
          <w:rFonts w:asciiTheme="majorBidi" w:hAnsiTheme="majorBidi" w:cstheme="majorBidi"/>
          <w:sz w:val="24"/>
          <w:szCs w:val="24"/>
        </w:rPr>
        <w:lastRenderedPageBreak/>
        <w:t>People v. Lochtefeld (2000)</w:t>
      </w:r>
    </w:p>
    <w:p w:rsidR="00CB7E29" w:rsidRDefault="008639AE" w:rsidP="008639AE">
      <w:pPr>
        <w:spacing w:line="480" w:lineRule="auto"/>
        <w:ind w:firstLine="720"/>
        <w:rPr>
          <w:rFonts w:asciiTheme="majorBidi" w:hAnsiTheme="majorBidi" w:cstheme="majorBidi"/>
          <w:sz w:val="24"/>
          <w:szCs w:val="24"/>
        </w:rPr>
      </w:pPr>
      <w:r w:rsidRPr="00BB16F6">
        <w:rPr>
          <w:rFonts w:asciiTheme="majorBidi" w:hAnsiTheme="majorBidi" w:cstheme="majorBidi"/>
          <w:i/>
          <w:iCs/>
          <w:sz w:val="24"/>
          <w:szCs w:val="24"/>
        </w:rPr>
        <w:t>People v. Lochtefeld (2000)</w:t>
      </w:r>
      <w:r>
        <w:rPr>
          <w:rFonts w:asciiTheme="majorBidi" w:hAnsiTheme="majorBidi" w:cstheme="majorBidi"/>
          <w:sz w:val="24"/>
          <w:szCs w:val="24"/>
        </w:rPr>
        <w:t xml:space="preserve"> involved “The People” as respondent and Daniel Bernard Lochtefeld as the defendant. The case was brought before the California court of appeal after the appellant disagreed with the </w:t>
      </w:r>
      <w:r w:rsidR="003169FC">
        <w:rPr>
          <w:rFonts w:asciiTheme="majorBidi" w:hAnsiTheme="majorBidi" w:cstheme="majorBidi"/>
          <w:sz w:val="24"/>
          <w:szCs w:val="24"/>
        </w:rPr>
        <w:t xml:space="preserve">District Court’s ruling that handed him four years imprisonment. According to the presiding judge in the court, Lochtefeld was “armed with a deadly weapon” thus committed a crime under </w:t>
      </w:r>
      <w:r w:rsidR="003169FC" w:rsidRPr="003169FC">
        <w:rPr>
          <w:rFonts w:asciiTheme="majorBidi" w:hAnsiTheme="majorBidi" w:cstheme="majorBidi"/>
          <w:sz w:val="24"/>
          <w:szCs w:val="24"/>
        </w:rPr>
        <w:t>section 1192.7, subdivision (c)(23)</w:t>
      </w:r>
      <w:sdt>
        <w:sdtPr>
          <w:rPr>
            <w:rFonts w:asciiTheme="majorBidi" w:hAnsiTheme="majorBidi" w:cstheme="majorBidi"/>
            <w:sz w:val="24"/>
            <w:szCs w:val="24"/>
          </w:rPr>
          <w:id w:val="584583983"/>
          <w:citation/>
        </w:sdtPr>
        <w:sdtContent>
          <w:r w:rsidR="003169FC">
            <w:rPr>
              <w:rFonts w:asciiTheme="majorBidi" w:hAnsiTheme="majorBidi" w:cstheme="majorBidi"/>
              <w:sz w:val="24"/>
              <w:szCs w:val="24"/>
            </w:rPr>
            <w:fldChar w:fldCharType="begin"/>
          </w:r>
          <w:r w:rsidR="003169FC">
            <w:rPr>
              <w:rFonts w:asciiTheme="majorBidi" w:hAnsiTheme="majorBidi" w:cstheme="majorBidi"/>
              <w:sz w:val="24"/>
              <w:szCs w:val="24"/>
            </w:rPr>
            <w:instrText xml:space="preserve"> CITATION Peo00 \l 1033 </w:instrText>
          </w:r>
          <w:r w:rsidR="003169FC">
            <w:rPr>
              <w:rFonts w:asciiTheme="majorBidi" w:hAnsiTheme="majorBidi" w:cstheme="majorBidi"/>
              <w:sz w:val="24"/>
              <w:szCs w:val="24"/>
            </w:rPr>
            <w:fldChar w:fldCharType="separate"/>
          </w:r>
          <w:r w:rsidR="003169FC">
            <w:rPr>
              <w:rFonts w:asciiTheme="majorBidi" w:hAnsiTheme="majorBidi" w:cstheme="majorBidi"/>
              <w:noProof/>
              <w:sz w:val="24"/>
              <w:szCs w:val="24"/>
            </w:rPr>
            <w:t xml:space="preserve"> </w:t>
          </w:r>
          <w:r w:rsidR="003169FC" w:rsidRPr="003169FC">
            <w:rPr>
              <w:rFonts w:asciiTheme="majorBidi" w:hAnsiTheme="majorBidi" w:cstheme="majorBidi"/>
              <w:noProof/>
              <w:sz w:val="24"/>
              <w:szCs w:val="24"/>
            </w:rPr>
            <w:t>(People v. Lochtefeld , 2000)</w:t>
          </w:r>
          <w:r w:rsidR="003169FC">
            <w:rPr>
              <w:rFonts w:asciiTheme="majorBidi" w:hAnsiTheme="majorBidi" w:cstheme="majorBidi"/>
              <w:sz w:val="24"/>
              <w:szCs w:val="24"/>
            </w:rPr>
            <w:fldChar w:fldCharType="end"/>
          </w:r>
        </w:sdtContent>
      </w:sdt>
      <w:r w:rsidR="003169FC">
        <w:rPr>
          <w:rFonts w:asciiTheme="majorBidi" w:hAnsiTheme="majorBidi" w:cstheme="majorBidi"/>
          <w:sz w:val="24"/>
          <w:szCs w:val="24"/>
        </w:rPr>
        <w:t>.</w:t>
      </w:r>
      <w:r w:rsidR="00CB7E29">
        <w:rPr>
          <w:rFonts w:asciiTheme="majorBidi" w:hAnsiTheme="majorBidi" w:cstheme="majorBidi"/>
          <w:sz w:val="24"/>
          <w:szCs w:val="24"/>
        </w:rPr>
        <w:t xml:space="preserve"> California court of appeal reaffirmed this ruling on January 1, 2000. </w:t>
      </w:r>
    </w:p>
    <w:p w:rsidR="00CB7E29" w:rsidRDefault="00CB7E29" w:rsidP="008639AE">
      <w:pPr>
        <w:spacing w:line="480" w:lineRule="auto"/>
        <w:ind w:firstLine="720"/>
        <w:rPr>
          <w:rFonts w:asciiTheme="majorBidi" w:hAnsiTheme="majorBidi" w:cstheme="majorBidi"/>
          <w:sz w:val="24"/>
          <w:szCs w:val="24"/>
        </w:rPr>
      </w:pPr>
      <w:r>
        <w:rPr>
          <w:rFonts w:asciiTheme="majorBidi" w:hAnsiTheme="majorBidi" w:cstheme="majorBidi"/>
          <w:sz w:val="24"/>
          <w:szCs w:val="24"/>
        </w:rPr>
        <w:t>Facts of the case</w:t>
      </w:r>
    </w:p>
    <w:p w:rsidR="001D04C9" w:rsidRDefault="00C35013" w:rsidP="008639AE">
      <w:pPr>
        <w:spacing w:line="480" w:lineRule="auto"/>
        <w:ind w:firstLine="720"/>
        <w:rPr>
          <w:rFonts w:asciiTheme="majorBidi" w:hAnsiTheme="majorBidi" w:cstheme="majorBidi"/>
          <w:sz w:val="24"/>
          <w:szCs w:val="24"/>
        </w:rPr>
      </w:pPr>
      <w:r>
        <w:rPr>
          <w:rFonts w:asciiTheme="majorBidi" w:hAnsiTheme="majorBidi" w:cstheme="majorBidi"/>
          <w:sz w:val="24"/>
          <w:szCs w:val="24"/>
        </w:rPr>
        <w:t>Daniel Bernard Lochtefeld- the appellant, lived in Pine Hotel along Front Street in San Diego. On 23</w:t>
      </w:r>
      <w:r w:rsidRPr="00C35013">
        <w:rPr>
          <w:rFonts w:asciiTheme="majorBidi" w:hAnsiTheme="majorBidi" w:cstheme="majorBidi"/>
          <w:sz w:val="24"/>
          <w:szCs w:val="24"/>
          <w:vertAlign w:val="superscript"/>
        </w:rPr>
        <w:t>rd</w:t>
      </w:r>
      <w:r>
        <w:rPr>
          <w:rFonts w:asciiTheme="majorBidi" w:hAnsiTheme="majorBidi" w:cstheme="majorBidi"/>
          <w:sz w:val="24"/>
          <w:szCs w:val="24"/>
        </w:rPr>
        <w:t xml:space="preserve"> day of September, 1997 Carolyn Scott- a resident of the same facility, saw him armed with handgun and waving it to the public. Carolyn informed the hotel’</w:t>
      </w:r>
      <w:r w:rsidR="0032047E">
        <w:rPr>
          <w:rFonts w:asciiTheme="majorBidi" w:hAnsiTheme="majorBidi" w:cstheme="majorBidi"/>
          <w:sz w:val="24"/>
          <w:szCs w:val="24"/>
        </w:rPr>
        <w:t>s manager, Vivian Caparell. Further, Scot saw Lochtefeld threatening an African-American woman since he “hate niggers.” Scot heard tell the woman “</w:t>
      </w:r>
      <w:r w:rsidR="0032047E" w:rsidRPr="0032047E">
        <w:rPr>
          <w:rFonts w:asciiTheme="majorBidi" w:hAnsiTheme="majorBidi" w:cstheme="majorBidi"/>
          <w:sz w:val="24"/>
          <w:szCs w:val="24"/>
        </w:rPr>
        <w:t>I hate niggers and if you don't move, I'm going to shoot you</w:t>
      </w:r>
      <w:r w:rsidR="0032047E">
        <w:rPr>
          <w:rFonts w:asciiTheme="majorBidi" w:hAnsiTheme="majorBidi" w:cstheme="majorBidi"/>
          <w:sz w:val="24"/>
          <w:szCs w:val="24"/>
        </w:rPr>
        <w:t>”</w:t>
      </w:r>
      <w:sdt>
        <w:sdtPr>
          <w:rPr>
            <w:rFonts w:asciiTheme="majorBidi" w:hAnsiTheme="majorBidi" w:cstheme="majorBidi"/>
            <w:sz w:val="24"/>
            <w:szCs w:val="24"/>
          </w:rPr>
          <w:id w:val="197366790"/>
          <w:citation/>
        </w:sdtPr>
        <w:sdtContent>
          <w:r w:rsidR="0032047E">
            <w:rPr>
              <w:rFonts w:asciiTheme="majorBidi" w:hAnsiTheme="majorBidi" w:cstheme="majorBidi"/>
              <w:sz w:val="24"/>
              <w:szCs w:val="24"/>
            </w:rPr>
            <w:fldChar w:fldCharType="begin"/>
          </w:r>
          <w:r w:rsidR="0032047E">
            <w:rPr>
              <w:rFonts w:asciiTheme="majorBidi" w:hAnsiTheme="majorBidi" w:cstheme="majorBidi"/>
              <w:sz w:val="24"/>
              <w:szCs w:val="24"/>
            </w:rPr>
            <w:instrText xml:space="preserve"> CITATION Peo00 \l 1033 </w:instrText>
          </w:r>
          <w:r w:rsidR="0032047E">
            <w:rPr>
              <w:rFonts w:asciiTheme="majorBidi" w:hAnsiTheme="majorBidi" w:cstheme="majorBidi"/>
              <w:sz w:val="24"/>
              <w:szCs w:val="24"/>
            </w:rPr>
            <w:fldChar w:fldCharType="separate"/>
          </w:r>
          <w:r w:rsidR="0032047E">
            <w:rPr>
              <w:rFonts w:asciiTheme="majorBidi" w:hAnsiTheme="majorBidi" w:cstheme="majorBidi"/>
              <w:noProof/>
              <w:sz w:val="24"/>
              <w:szCs w:val="24"/>
            </w:rPr>
            <w:t xml:space="preserve"> </w:t>
          </w:r>
          <w:r w:rsidR="0032047E" w:rsidRPr="0032047E">
            <w:rPr>
              <w:rFonts w:asciiTheme="majorBidi" w:hAnsiTheme="majorBidi" w:cstheme="majorBidi"/>
              <w:noProof/>
              <w:sz w:val="24"/>
              <w:szCs w:val="24"/>
            </w:rPr>
            <w:t>(People v. Lochtefeld , 2000)</w:t>
          </w:r>
          <w:r w:rsidR="0032047E">
            <w:rPr>
              <w:rFonts w:asciiTheme="majorBidi" w:hAnsiTheme="majorBidi" w:cstheme="majorBidi"/>
              <w:sz w:val="24"/>
              <w:szCs w:val="24"/>
            </w:rPr>
            <w:fldChar w:fldCharType="end"/>
          </w:r>
        </w:sdtContent>
      </w:sdt>
      <w:r w:rsidR="0032047E">
        <w:rPr>
          <w:rFonts w:asciiTheme="majorBidi" w:hAnsiTheme="majorBidi" w:cstheme="majorBidi"/>
          <w:sz w:val="24"/>
          <w:szCs w:val="24"/>
        </w:rPr>
        <w:t xml:space="preserve">. </w:t>
      </w:r>
      <w:r w:rsidR="00882CD9">
        <w:rPr>
          <w:rFonts w:asciiTheme="majorBidi" w:hAnsiTheme="majorBidi" w:cstheme="majorBidi"/>
          <w:sz w:val="24"/>
          <w:szCs w:val="24"/>
        </w:rPr>
        <w:t xml:space="preserve"> The women ran away before Lochtefeld boarded the bus. Vivian Caparell also witnessed Lochtefeld threatening the lady prompting her to call police. </w:t>
      </w:r>
    </w:p>
    <w:p w:rsidR="004006A9" w:rsidRDefault="004006A9" w:rsidP="003D2318">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Police officers from San Diego- Cali, Hensley, and Robertson responded to the call and went to the appellant’s room in Pine Hotel. They knocked his room’s door several times but he failed to respond despite the officers hearing movement in the room. Hensley and his colleagues radioed Sergeant Stetson, their supervisor who came with a master key from Caparell. </w:t>
      </w:r>
      <w:r w:rsidR="00F027C5">
        <w:rPr>
          <w:rFonts w:asciiTheme="majorBidi" w:hAnsiTheme="majorBidi" w:cstheme="majorBidi"/>
          <w:sz w:val="24"/>
          <w:szCs w:val="24"/>
        </w:rPr>
        <w:t xml:space="preserve">The officers opened the door </w:t>
      </w:r>
      <w:r w:rsidR="00E55125">
        <w:rPr>
          <w:rFonts w:asciiTheme="majorBidi" w:hAnsiTheme="majorBidi" w:cstheme="majorBidi"/>
          <w:sz w:val="24"/>
          <w:szCs w:val="24"/>
        </w:rPr>
        <w:t>but the appellant pointed the gun at them. Hensley and McGinley asked Lochtefeld to drop his</w:t>
      </w:r>
      <w:r w:rsidR="00C47C97">
        <w:rPr>
          <w:rFonts w:asciiTheme="majorBidi" w:hAnsiTheme="majorBidi" w:cstheme="majorBidi"/>
          <w:sz w:val="24"/>
          <w:szCs w:val="24"/>
        </w:rPr>
        <w:t xml:space="preserve"> weapon which he complied. The two officers then </w:t>
      </w:r>
      <w:r w:rsidR="003014A8">
        <w:rPr>
          <w:rFonts w:asciiTheme="majorBidi" w:hAnsiTheme="majorBidi" w:cstheme="majorBidi"/>
          <w:sz w:val="24"/>
          <w:szCs w:val="24"/>
        </w:rPr>
        <w:t>handcuffed him. H</w:t>
      </w:r>
      <w:r w:rsidR="00054FC2">
        <w:rPr>
          <w:rFonts w:asciiTheme="majorBidi" w:hAnsiTheme="majorBidi" w:cstheme="majorBidi"/>
          <w:sz w:val="24"/>
          <w:szCs w:val="24"/>
        </w:rPr>
        <w:t xml:space="preserve">ensley unloaded the pellets and test-fired </w:t>
      </w:r>
      <w:r w:rsidR="003D2318">
        <w:rPr>
          <w:rFonts w:asciiTheme="majorBidi" w:hAnsiTheme="majorBidi" w:cstheme="majorBidi"/>
          <w:sz w:val="24"/>
          <w:szCs w:val="24"/>
        </w:rPr>
        <w:t xml:space="preserve">the pellet-gun to establish its functionality. He found the weapon </w:t>
      </w:r>
      <w:r w:rsidR="00A05776">
        <w:rPr>
          <w:rFonts w:asciiTheme="majorBidi" w:hAnsiTheme="majorBidi" w:cstheme="majorBidi"/>
          <w:sz w:val="24"/>
          <w:szCs w:val="24"/>
        </w:rPr>
        <w:t>in good condition and successfully fired the pellets.</w:t>
      </w:r>
    </w:p>
    <w:p w:rsidR="00A05776" w:rsidRDefault="00547CD6" w:rsidP="006817D8">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In the case, the court of appeal was to determine whether pellet gun is considered a dangerous weapon. </w:t>
      </w:r>
      <w:r w:rsidR="006E5088">
        <w:rPr>
          <w:rFonts w:asciiTheme="majorBidi" w:hAnsiTheme="majorBidi" w:cstheme="majorBidi"/>
          <w:sz w:val="24"/>
          <w:szCs w:val="24"/>
        </w:rPr>
        <w:t xml:space="preserve">Lochtefeld </w:t>
      </w:r>
      <w:r w:rsidR="00B64008">
        <w:rPr>
          <w:rFonts w:asciiTheme="majorBidi" w:hAnsiTheme="majorBidi" w:cstheme="majorBidi"/>
          <w:sz w:val="24"/>
          <w:szCs w:val="24"/>
        </w:rPr>
        <w:t xml:space="preserve">wanted the court to overturn the lower court’s ruling </w:t>
      </w:r>
      <w:r w:rsidR="009B63F4">
        <w:rPr>
          <w:rFonts w:asciiTheme="majorBidi" w:hAnsiTheme="majorBidi" w:cstheme="majorBidi"/>
          <w:sz w:val="24"/>
          <w:szCs w:val="24"/>
        </w:rPr>
        <w:t>that handed him four years in prison. The primary question the appellant</w:t>
      </w:r>
      <w:r w:rsidR="00CD7F24">
        <w:rPr>
          <w:rFonts w:asciiTheme="majorBidi" w:hAnsiTheme="majorBidi" w:cstheme="majorBidi"/>
          <w:sz w:val="24"/>
          <w:szCs w:val="24"/>
        </w:rPr>
        <w:t xml:space="preserve"> wanted the judges to answer was whether pellet guns are </w:t>
      </w:r>
      <w:r w:rsidR="00735D30">
        <w:rPr>
          <w:rFonts w:asciiTheme="majorBidi" w:hAnsiTheme="majorBidi" w:cstheme="majorBidi"/>
          <w:sz w:val="24"/>
          <w:szCs w:val="24"/>
        </w:rPr>
        <w:t xml:space="preserve">“deadly weapons” according to article to the Penal Code section 245. Lochtefeld was represented by </w:t>
      </w:r>
      <w:r w:rsidR="00735D30" w:rsidRPr="00735D30">
        <w:rPr>
          <w:rFonts w:asciiTheme="majorBidi" w:hAnsiTheme="majorBidi" w:cstheme="majorBidi"/>
          <w:sz w:val="24"/>
          <w:szCs w:val="24"/>
        </w:rPr>
        <w:t>Joel K. Liberson</w:t>
      </w:r>
      <w:r w:rsidR="006817D8">
        <w:rPr>
          <w:rFonts w:asciiTheme="majorBidi" w:hAnsiTheme="majorBidi" w:cstheme="majorBidi"/>
          <w:sz w:val="24"/>
          <w:szCs w:val="24"/>
        </w:rPr>
        <w:t xml:space="preserve"> appointed by the court. On the other hand, the state attorneys included </w:t>
      </w:r>
      <w:r w:rsidR="006817D8" w:rsidRPr="006817D8">
        <w:rPr>
          <w:rFonts w:asciiTheme="majorBidi" w:hAnsiTheme="majorBidi" w:cstheme="majorBidi"/>
          <w:sz w:val="24"/>
          <w:szCs w:val="24"/>
        </w:rPr>
        <w:t>Bill Lockyer</w:t>
      </w:r>
      <w:r w:rsidR="006817D8">
        <w:rPr>
          <w:rFonts w:asciiTheme="majorBidi" w:hAnsiTheme="majorBidi" w:cstheme="majorBidi"/>
          <w:sz w:val="24"/>
          <w:szCs w:val="24"/>
        </w:rPr>
        <w:t xml:space="preserve"> (Attorney General), </w:t>
      </w:r>
      <w:r w:rsidR="006817D8" w:rsidRPr="006817D8">
        <w:rPr>
          <w:rFonts w:asciiTheme="majorBidi" w:hAnsiTheme="majorBidi" w:cstheme="majorBidi"/>
          <w:sz w:val="24"/>
          <w:szCs w:val="24"/>
        </w:rPr>
        <w:t>David P. Druliner</w:t>
      </w:r>
      <w:r w:rsidR="002624CB">
        <w:rPr>
          <w:rFonts w:asciiTheme="majorBidi" w:hAnsiTheme="majorBidi" w:cstheme="majorBidi"/>
          <w:sz w:val="24"/>
          <w:szCs w:val="24"/>
        </w:rPr>
        <w:t xml:space="preserve"> (</w:t>
      </w:r>
      <w:r w:rsidR="002624CB" w:rsidRPr="002624CB">
        <w:rPr>
          <w:rFonts w:asciiTheme="majorBidi" w:hAnsiTheme="majorBidi" w:cstheme="majorBidi"/>
          <w:sz w:val="24"/>
          <w:szCs w:val="24"/>
        </w:rPr>
        <w:t>Chief Assistant Attorney Genera</w:t>
      </w:r>
      <w:r w:rsidR="002624CB">
        <w:rPr>
          <w:rFonts w:asciiTheme="majorBidi" w:hAnsiTheme="majorBidi" w:cstheme="majorBidi"/>
          <w:sz w:val="24"/>
          <w:szCs w:val="24"/>
        </w:rPr>
        <w:t xml:space="preserve">l), </w:t>
      </w:r>
      <w:r w:rsidR="002624CB" w:rsidRPr="002624CB">
        <w:rPr>
          <w:rFonts w:asciiTheme="majorBidi" w:hAnsiTheme="majorBidi" w:cstheme="majorBidi"/>
          <w:sz w:val="24"/>
          <w:szCs w:val="24"/>
        </w:rPr>
        <w:t>Gary W. Schons</w:t>
      </w:r>
      <w:r w:rsidR="002624CB">
        <w:rPr>
          <w:rFonts w:asciiTheme="majorBidi" w:hAnsiTheme="majorBidi" w:cstheme="majorBidi"/>
          <w:sz w:val="24"/>
          <w:szCs w:val="24"/>
        </w:rPr>
        <w:t xml:space="preserve">, </w:t>
      </w:r>
      <w:r w:rsidR="002624CB" w:rsidRPr="002624CB">
        <w:rPr>
          <w:rFonts w:asciiTheme="majorBidi" w:hAnsiTheme="majorBidi" w:cstheme="majorBidi"/>
          <w:sz w:val="24"/>
          <w:szCs w:val="24"/>
        </w:rPr>
        <w:t>Esteban Hernandez</w:t>
      </w:r>
      <w:r w:rsidR="002624CB">
        <w:rPr>
          <w:rFonts w:asciiTheme="majorBidi" w:hAnsiTheme="majorBidi" w:cstheme="majorBidi"/>
          <w:sz w:val="24"/>
          <w:szCs w:val="24"/>
        </w:rPr>
        <w:t xml:space="preserve">, and </w:t>
      </w:r>
      <w:r w:rsidR="002624CB" w:rsidRPr="002624CB">
        <w:rPr>
          <w:rFonts w:asciiTheme="majorBidi" w:hAnsiTheme="majorBidi" w:cstheme="majorBidi"/>
          <w:sz w:val="24"/>
          <w:szCs w:val="24"/>
        </w:rPr>
        <w:t>A. Natasha Cortina</w:t>
      </w:r>
      <w:r w:rsidR="002624CB">
        <w:rPr>
          <w:rFonts w:asciiTheme="majorBidi" w:hAnsiTheme="majorBidi" w:cstheme="majorBidi"/>
          <w:sz w:val="24"/>
          <w:szCs w:val="24"/>
        </w:rPr>
        <w:t xml:space="preserve">. </w:t>
      </w:r>
    </w:p>
    <w:p w:rsidR="00D26755" w:rsidRDefault="00770794" w:rsidP="006817D8">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Lochtefeld attorney Joel Liberson argued that </w:t>
      </w:r>
      <w:r w:rsidR="00254278">
        <w:rPr>
          <w:rFonts w:asciiTheme="majorBidi" w:hAnsiTheme="majorBidi" w:cstheme="majorBidi"/>
          <w:sz w:val="24"/>
          <w:szCs w:val="24"/>
        </w:rPr>
        <w:t xml:space="preserve">the judge in District Court erred in </w:t>
      </w:r>
      <w:r w:rsidR="00113711">
        <w:rPr>
          <w:rFonts w:asciiTheme="majorBidi" w:hAnsiTheme="majorBidi" w:cstheme="majorBidi"/>
          <w:sz w:val="24"/>
          <w:szCs w:val="24"/>
        </w:rPr>
        <w:t>classifying pellet gun as “</w:t>
      </w:r>
      <w:r w:rsidR="0061787B">
        <w:rPr>
          <w:rFonts w:asciiTheme="majorBidi" w:hAnsiTheme="majorBidi" w:cstheme="majorBidi"/>
          <w:sz w:val="24"/>
          <w:szCs w:val="24"/>
        </w:rPr>
        <w:t>deadly</w:t>
      </w:r>
      <w:r w:rsidR="00113711">
        <w:rPr>
          <w:rFonts w:asciiTheme="majorBidi" w:hAnsiTheme="majorBidi" w:cstheme="majorBidi"/>
          <w:sz w:val="24"/>
          <w:szCs w:val="24"/>
        </w:rPr>
        <w:t xml:space="preserve"> weapon.” H</w:t>
      </w:r>
      <w:r w:rsidR="00713435">
        <w:rPr>
          <w:rFonts w:asciiTheme="majorBidi" w:hAnsiTheme="majorBidi" w:cstheme="majorBidi"/>
          <w:sz w:val="24"/>
          <w:szCs w:val="24"/>
        </w:rPr>
        <w:t xml:space="preserve">e argue that the object does not qualify as “a dangerous weapon.” </w:t>
      </w:r>
      <w:r w:rsidR="001C0F3E">
        <w:rPr>
          <w:rFonts w:asciiTheme="majorBidi" w:hAnsiTheme="majorBidi" w:cstheme="majorBidi"/>
          <w:sz w:val="24"/>
          <w:szCs w:val="24"/>
        </w:rPr>
        <w:t xml:space="preserve">However, the presiding judges disagreed with the defender’s argument citing various precedents set be various courts in the same jurisdiction. </w:t>
      </w:r>
      <w:r w:rsidR="0061787B">
        <w:rPr>
          <w:rFonts w:asciiTheme="majorBidi" w:hAnsiTheme="majorBidi" w:cstheme="majorBidi"/>
          <w:sz w:val="24"/>
          <w:szCs w:val="24"/>
        </w:rPr>
        <w:t>According to Penal Code section 245, a “deadly weapon”  “</w:t>
      </w:r>
      <w:r w:rsidR="0061787B" w:rsidRPr="0061787B">
        <w:rPr>
          <w:rFonts w:asciiTheme="majorBidi" w:hAnsiTheme="majorBidi" w:cstheme="majorBidi"/>
          <w:sz w:val="24"/>
          <w:szCs w:val="24"/>
        </w:rPr>
        <w:t>any object, instrument, or weapon which is used in such a manner as to be capable of [77 Cal. App. 4th 539] producing and likely to produce, death or great bodily injury</w:t>
      </w:r>
      <w:r w:rsidR="0061787B">
        <w:rPr>
          <w:rFonts w:asciiTheme="majorBidi" w:hAnsiTheme="majorBidi" w:cstheme="majorBidi"/>
          <w:sz w:val="24"/>
          <w:szCs w:val="24"/>
        </w:rPr>
        <w:t>”</w:t>
      </w:r>
      <w:sdt>
        <w:sdtPr>
          <w:rPr>
            <w:rFonts w:asciiTheme="majorBidi" w:hAnsiTheme="majorBidi" w:cstheme="majorBidi"/>
            <w:sz w:val="24"/>
            <w:szCs w:val="24"/>
          </w:rPr>
          <w:id w:val="-1515450403"/>
          <w:citation/>
        </w:sdtPr>
        <w:sdtContent>
          <w:r w:rsidR="00000B44">
            <w:rPr>
              <w:rFonts w:asciiTheme="majorBidi" w:hAnsiTheme="majorBidi" w:cstheme="majorBidi"/>
              <w:sz w:val="24"/>
              <w:szCs w:val="24"/>
            </w:rPr>
            <w:fldChar w:fldCharType="begin"/>
          </w:r>
          <w:r w:rsidR="00000B44">
            <w:rPr>
              <w:rFonts w:asciiTheme="majorBidi" w:hAnsiTheme="majorBidi" w:cstheme="majorBidi"/>
              <w:sz w:val="24"/>
              <w:szCs w:val="24"/>
            </w:rPr>
            <w:instrText xml:space="preserve">CITATION Peo00 \p 18 \l 1033 </w:instrText>
          </w:r>
          <w:r w:rsidR="00000B44">
            <w:rPr>
              <w:rFonts w:asciiTheme="majorBidi" w:hAnsiTheme="majorBidi" w:cstheme="majorBidi"/>
              <w:sz w:val="24"/>
              <w:szCs w:val="24"/>
            </w:rPr>
            <w:fldChar w:fldCharType="separate"/>
          </w:r>
          <w:r w:rsidR="00000B44">
            <w:rPr>
              <w:rFonts w:asciiTheme="majorBidi" w:hAnsiTheme="majorBidi" w:cstheme="majorBidi"/>
              <w:noProof/>
              <w:sz w:val="24"/>
              <w:szCs w:val="24"/>
            </w:rPr>
            <w:t xml:space="preserve"> </w:t>
          </w:r>
          <w:r w:rsidR="00000B44" w:rsidRPr="00000B44">
            <w:rPr>
              <w:rFonts w:asciiTheme="majorBidi" w:hAnsiTheme="majorBidi" w:cstheme="majorBidi"/>
              <w:noProof/>
              <w:sz w:val="24"/>
              <w:szCs w:val="24"/>
            </w:rPr>
            <w:t>(People v. Lochtefeld , 2000, p. 18)</w:t>
          </w:r>
          <w:r w:rsidR="00000B44">
            <w:rPr>
              <w:rFonts w:asciiTheme="majorBidi" w:hAnsiTheme="majorBidi" w:cstheme="majorBidi"/>
              <w:sz w:val="24"/>
              <w:szCs w:val="24"/>
            </w:rPr>
            <w:fldChar w:fldCharType="end"/>
          </w:r>
        </w:sdtContent>
      </w:sdt>
      <w:r w:rsidR="00000B44">
        <w:rPr>
          <w:rFonts w:asciiTheme="majorBidi" w:hAnsiTheme="majorBidi" w:cstheme="majorBidi"/>
          <w:sz w:val="24"/>
          <w:szCs w:val="24"/>
        </w:rPr>
        <w:t xml:space="preserve">. </w:t>
      </w:r>
      <w:r w:rsidR="0061787B">
        <w:rPr>
          <w:rFonts w:asciiTheme="majorBidi" w:hAnsiTheme="majorBidi" w:cstheme="majorBidi"/>
          <w:sz w:val="24"/>
          <w:szCs w:val="24"/>
        </w:rPr>
        <w:t xml:space="preserve"> </w:t>
      </w:r>
      <w:r w:rsidR="00000B44">
        <w:rPr>
          <w:rFonts w:asciiTheme="majorBidi" w:hAnsiTheme="majorBidi" w:cstheme="majorBidi"/>
          <w:sz w:val="24"/>
          <w:szCs w:val="24"/>
        </w:rPr>
        <w:t xml:space="preserve">The bench argued that this definition of “deadly weapon” including any object that had a potential of harming an individual. For example, </w:t>
      </w:r>
      <w:r w:rsidR="00103EC6">
        <w:rPr>
          <w:rFonts w:asciiTheme="majorBidi" w:hAnsiTheme="majorBidi" w:cstheme="majorBidi"/>
          <w:sz w:val="24"/>
          <w:szCs w:val="24"/>
        </w:rPr>
        <w:t xml:space="preserve">courts have held </w:t>
      </w:r>
      <w:r w:rsidR="00000B44">
        <w:rPr>
          <w:rFonts w:asciiTheme="majorBidi" w:hAnsiTheme="majorBidi" w:cstheme="majorBidi"/>
          <w:sz w:val="24"/>
          <w:szCs w:val="24"/>
        </w:rPr>
        <w:t xml:space="preserve">objects like </w:t>
      </w:r>
      <w:r w:rsidR="00103EC6">
        <w:rPr>
          <w:rFonts w:asciiTheme="majorBidi" w:hAnsiTheme="majorBidi" w:cstheme="majorBidi"/>
          <w:sz w:val="24"/>
          <w:szCs w:val="24"/>
        </w:rPr>
        <w:t>black jacks and dirks as “deadly weapon” in the context of law despite being designed to perform specific functions. In other words, the judges held the opinion that an object qualifies as “a deadly weapon” when used to inflict harm on another person. Various courts have made rulings on a “deadly weapon” thus setting strong precedent for the judges. Fo</w:t>
      </w:r>
      <w:r w:rsidR="0012292F">
        <w:rPr>
          <w:rFonts w:asciiTheme="majorBidi" w:hAnsiTheme="majorBidi" w:cstheme="majorBidi"/>
          <w:sz w:val="24"/>
          <w:szCs w:val="24"/>
        </w:rPr>
        <w:t xml:space="preserve">r instance, the bench cited </w:t>
      </w:r>
      <w:r w:rsidR="0012292F" w:rsidRPr="0012292F">
        <w:rPr>
          <w:rFonts w:asciiTheme="majorBidi" w:hAnsiTheme="majorBidi" w:cstheme="majorBidi"/>
          <w:i/>
          <w:iCs/>
          <w:sz w:val="24"/>
          <w:szCs w:val="24"/>
        </w:rPr>
        <w:t>People v. Aguilar (1997), People v. Graham (1969), and People v. Ray (1975).</w:t>
      </w:r>
      <w:r w:rsidR="0012292F">
        <w:rPr>
          <w:rFonts w:asciiTheme="majorBidi" w:hAnsiTheme="majorBidi" w:cstheme="majorBidi"/>
          <w:sz w:val="24"/>
          <w:szCs w:val="24"/>
        </w:rPr>
        <w:t xml:space="preserve"> </w:t>
      </w:r>
    </w:p>
    <w:p w:rsidR="0012292F" w:rsidRDefault="007B2E69" w:rsidP="006817D8">
      <w:pPr>
        <w:spacing w:line="480" w:lineRule="auto"/>
        <w:ind w:firstLine="720"/>
        <w:rPr>
          <w:rFonts w:asciiTheme="majorBidi" w:hAnsiTheme="majorBidi" w:cstheme="majorBidi"/>
          <w:sz w:val="24"/>
          <w:szCs w:val="24"/>
        </w:rPr>
      </w:pPr>
      <w:r>
        <w:rPr>
          <w:rFonts w:asciiTheme="majorBidi" w:hAnsiTheme="majorBidi" w:cstheme="majorBidi"/>
          <w:sz w:val="24"/>
          <w:szCs w:val="24"/>
        </w:rPr>
        <w:t>Additionally, the court relied on the assessment conducted by the police officers to establish the weapon’s ability to cause body harm to an individual. The test-fire revealed showed the weapon was capable</w:t>
      </w:r>
      <w:r w:rsidR="00687090">
        <w:rPr>
          <w:rFonts w:asciiTheme="majorBidi" w:hAnsiTheme="majorBidi" w:cstheme="majorBidi"/>
          <w:sz w:val="24"/>
          <w:szCs w:val="24"/>
        </w:rPr>
        <w:t xml:space="preserve"> of firing pellets at a speed of 300 to 380 feet per second. </w:t>
      </w:r>
      <w:r w:rsidR="00687090">
        <w:rPr>
          <w:rFonts w:asciiTheme="majorBidi" w:hAnsiTheme="majorBidi" w:cstheme="majorBidi"/>
          <w:sz w:val="24"/>
          <w:szCs w:val="24"/>
        </w:rPr>
        <w:lastRenderedPageBreak/>
        <w:t xml:space="preserve">Eugene Wolberg, firearm specialist, </w:t>
      </w:r>
      <w:r w:rsidR="00315BDA">
        <w:rPr>
          <w:rFonts w:asciiTheme="majorBidi" w:hAnsiTheme="majorBidi" w:cstheme="majorBidi"/>
          <w:sz w:val="24"/>
          <w:szCs w:val="24"/>
        </w:rPr>
        <w:t>testified before the jury arguing that such a speed was enough to cause serious injury. In fact, a pellet moving at 250 feet per second can penetrate eye balls. Essentially, Wolberg’s testimony proved to the court the dangerous nature of the weapon. Joel Liberson- defendant’s attorney, did not object the expert’s opinion on the subject. Consequently, the court affirmed the decision of the Distr</w:t>
      </w:r>
      <w:r w:rsidR="00512F83">
        <w:rPr>
          <w:rFonts w:asciiTheme="majorBidi" w:hAnsiTheme="majorBidi" w:cstheme="majorBidi"/>
          <w:sz w:val="24"/>
          <w:szCs w:val="24"/>
        </w:rPr>
        <w:t xml:space="preserve">ict Court handing Lochtefeld a four-year term imprisonment. </w:t>
      </w:r>
    </w:p>
    <w:p w:rsidR="00512F83" w:rsidRDefault="00DA2B45" w:rsidP="00D867C9">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case was selected because it touches on various fundamental areas of criminal justice system and the application of the law. </w:t>
      </w:r>
      <w:r w:rsidR="00D867C9">
        <w:rPr>
          <w:rFonts w:asciiTheme="majorBidi" w:hAnsiTheme="majorBidi" w:cstheme="majorBidi"/>
          <w:sz w:val="24"/>
          <w:szCs w:val="24"/>
        </w:rPr>
        <w:t>I</w:t>
      </w:r>
      <w:r>
        <w:rPr>
          <w:rFonts w:asciiTheme="majorBidi" w:hAnsiTheme="majorBidi" w:cstheme="majorBidi"/>
          <w:sz w:val="24"/>
          <w:szCs w:val="24"/>
        </w:rPr>
        <w:t xml:space="preserve">t elaborates the legal interpretation of “deadly weapon” as stated in Penal Code section 245. </w:t>
      </w:r>
      <w:r w:rsidR="00D867C9">
        <w:rPr>
          <w:rFonts w:asciiTheme="majorBidi" w:hAnsiTheme="majorBidi" w:cstheme="majorBidi"/>
          <w:sz w:val="24"/>
          <w:szCs w:val="24"/>
        </w:rPr>
        <w:t xml:space="preserve">Notably, a “deadly weapon” as used in this context refers to the use of an object to cause injury to another person rather than its intended person. Additionally, </w:t>
      </w:r>
      <w:r w:rsidR="004E5580">
        <w:rPr>
          <w:rFonts w:asciiTheme="majorBidi" w:hAnsiTheme="majorBidi" w:cstheme="majorBidi"/>
          <w:sz w:val="24"/>
          <w:szCs w:val="24"/>
        </w:rPr>
        <w:t xml:space="preserve">the case elaborates the role of precedent in persuading the bench’s decision on a particular case. For instance, the bench relied on various rulings by different courts in the same jurisdiction including the Supreme Court. </w:t>
      </w:r>
      <w:r w:rsidR="004E5580" w:rsidRPr="004E5580">
        <w:rPr>
          <w:rFonts w:asciiTheme="majorBidi" w:hAnsiTheme="majorBidi" w:cstheme="majorBidi"/>
          <w:i/>
          <w:iCs/>
          <w:sz w:val="24"/>
          <w:szCs w:val="24"/>
        </w:rPr>
        <w:t>People v. Lochtefeld (2000)</w:t>
      </w:r>
      <w:r w:rsidR="004E5580">
        <w:rPr>
          <w:rFonts w:asciiTheme="majorBidi" w:hAnsiTheme="majorBidi" w:cstheme="majorBidi"/>
          <w:i/>
          <w:iCs/>
          <w:sz w:val="24"/>
          <w:szCs w:val="24"/>
        </w:rPr>
        <w:t xml:space="preserve"> </w:t>
      </w:r>
      <w:r w:rsidR="004E5580">
        <w:rPr>
          <w:rFonts w:asciiTheme="majorBidi" w:hAnsiTheme="majorBidi" w:cstheme="majorBidi"/>
          <w:sz w:val="24"/>
          <w:szCs w:val="24"/>
        </w:rPr>
        <w:t xml:space="preserve">is an excellent case study for a student aspiring to venture in the practice of criminal law. </w:t>
      </w:r>
    </w:p>
    <w:p w:rsidR="00BB16F6" w:rsidRDefault="00BB16F6" w:rsidP="00D867C9">
      <w:pPr>
        <w:spacing w:line="480" w:lineRule="auto"/>
        <w:ind w:firstLine="720"/>
        <w:rPr>
          <w:rFonts w:asciiTheme="majorBidi" w:hAnsiTheme="majorBidi" w:cstheme="majorBidi"/>
          <w:sz w:val="24"/>
          <w:szCs w:val="24"/>
        </w:rPr>
      </w:pPr>
    </w:p>
    <w:p w:rsidR="00BB16F6" w:rsidRDefault="00BB16F6" w:rsidP="00D867C9">
      <w:pPr>
        <w:spacing w:line="480" w:lineRule="auto"/>
        <w:ind w:firstLine="720"/>
        <w:rPr>
          <w:rFonts w:asciiTheme="majorBidi" w:hAnsiTheme="majorBidi" w:cstheme="majorBidi"/>
          <w:sz w:val="24"/>
          <w:szCs w:val="24"/>
        </w:rPr>
      </w:pPr>
    </w:p>
    <w:p w:rsidR="00BB16F6" w:rsidRDefault="00BB16F6" w:rsidP="00D867C9">
      <w:pPr>
        <w:spacing w:line="480" w:lineRule="auto"/>
        <w:ind w:firstLine="720"/>
        <w:rPr>
          <w:rFonts w:asciiTheme="majorBidi" w:hAnsiTheme="majorBidi" w:cstheme="majorBidi"/>
          <w:sz w:val="24"/>
          <w:szCs w:val="24"/>
        </w:rPr>
      </w:pPr>
    </w:p>
    <w:p w:rsidR="00BB16F6" w:rsidRDefault="00BB16F6" w:rsidP="00D867C9">
      <w:pPr>
        <w:spacing w:line="480" w:lineRule="auto"/>
        <w:ind w:firstLine="720"/>
        <w:rPr>
          <w:rFonts w:asciiTheme="majorBidi" w:hAnsiTheme="majorBidi" w:cstheme="majorBidi"/>
          <w:sz w:val="24"/>
          <w:szCs w:val="24"/>
        </w:rPr>
      </w:pPr>
    </w:p>
    <w:p w:rsidR="00BB16F6" w:rsidRDefault="00BB16F6" w:rsidP="00D867C9">
      <w:pPr>
        <w:spacing w:line="480" w:lineRule="auto"/>
        <w:ind w:firstLine="720"/>
        <w:rPr>
          <w:rFonts w:asciiTheme="majorBidi" w:hAnsiTheme="majorBidi" w:cstheme="majorBidi"/>
          <w:sz w:val="24"/>
          <w:szCs w:val="24"/>
        </w:rPr>
      </w:pPr>
    </w:p>
    <w:p w:rsidR="00BB16F6" w:rsidRDefault="00BB16F6" w:rsidP="00D867C9">
      <w:pPr>
        <w:spacing w:line="480" w:lineRule="auto"/>
        <w:ind w:firstLine="720"/>
        <w:rPr>
          <w:rFonts w:asciiTheme="majorBidi" w:hAnsiTheme="majorBidi" w:cstheme="majorBidi"/>
          <w:sz w:val="24"/>
          <w:szCs w:val="24"/>
        </w:rPr>
      </w:pPr>
    </w:p>
    <w:p w:rsidR="00BB16F6" w:rsidRDefault="00BB16F6" w:rsidP="00D867C9">
      <w:pPr>
        <w:spacing w:line="480" w:lineRule="auto"/>
        <w:ind w:firstLine="720"/>
        <w:rPr>
          <w:rFonts w:asciiTheme="majorBidi" w:hAnsiTheme="majorBidi" w:cstheme="majorBidi"/>
          <w:sz w:val="24"/>
          <w:szCs w:val="24"/>
        </w:rPr>
      </w:pPr>
    </w:p>
    <w:p w:rsidR="00BB16F6" w:rsidRDefault="00BB16F6" w:rsidP="00D867C9">
      <w:pPr>
        <w:spacing w:line="480" w:lineRule="auto"/>
        <w:ind w:firstLine="720"/>
        <w:rPr>
          <w:rFonts w:asciiTheme="majorBidi" w:hAnsiTheme="majorBidi" w:cstheme="majorBidi"/>
          <w:sz w:val="24"/>
          <w:szCs w:val="24"/>
        </w:rPr>
      </w:pPr>
    </w:p>
    <w:p w:rsidR="00BB16F6" w:rsidRDefault="00BB16F6" w:rsidP="00BB16F6">
      <w:pPr>
        <w:spacing w:line="480" w:lineRule="auto"/>
        <w:ind w:firstLine="720"/>
        <w:jc w:val="center"/>
        <w:rPr>
          <w:rFonts w:asciiTheme="majorBidi" w:hAnsiTheme="majorBidi" w:cstheme="majorBidi"/>
          <w:sz w:val="24"/>
          <w:szCs w:val="24"/>
        </w:rPr>
      </w:pPr>
      <w:bookmarkStart w:id="0" w:name="_GoBack"/>
      <w:bookmarkEnd w:id="0"/>
      <w:r>
        <w:rPr>
          <w:rFonts w:asciiTheme="majorBidi" w:hAnsiTheme="majorBidi" w:cstheme="majorBidi"/>
          <w:sz w:val="24"/>
          <w:szCs w:val="24"/>
        </w:rPr>
        <w:lastRenderedPageBreak/>
        <w:t>References</w:t>
      </w:r>
    </w:p>
    <w:p w:rsidR="00BB16F6" w:rsidRDefault="00BB16F6" w:rsidP="00BB16F6">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People v. Lochtefeld , D031877 (California Court of Appeal January 11, 2000). Retrieved September 26, 2019, from https://law.justia.com/cases/california/court-of-appeal/4th/77/533.html</w:t>
      </w:r>
    </w:p>
    <w:p w:rsidR="00BB16F6" w:rsidRDefault="00BB16F6" w:rsidP="00BB16F6">
      <w:pPr>
        <w:spacing w:line="480" w:lineRule="auto"/>
        <w:ind w:firstLine="720"/>
        <w:rPr>
          <w:rFonts w:asciiTheme="majorBidi" w:hAnsiTheme="majorBidi" w:cstheme="majorBidi"/>
          <w:sz w:val="24"/>
          <w:szCs w:val="24"/>
        </w:rPr>
      </w:pPr>
      <w:r>
        <w:rPr>
          <w:rFonts w:asciiTheme="majorBidi" w:hAnsiTheme="majorBidi" w:cstheme="majorBidi"/>
          <w:sz w:val="24"/>
          <w:szCs w:val="24"/>
        </w:rPr>
        <w:fldChar w:fldCharType="end"/>
      </w:r>
    </w:p>
    <w:p w:rsidR="00BB16F6" w:rsidRPr="004E5580" w:rsidRDefault="00BB16F6" w:rsidP="00D867C9">
      <w:pPr>
        <w:spacing w:line="480" w:lineRule="auto"/>
        <w:ind w:firstLine="720"/>
        <w:rPr>
          <w:rFonts w:asciiTheme="majorBidi" w:hAnsiTheme="majorBidi" w:cstheme="majorBidi"/>
          <w:sz w:val="24"/>
          <w:szCs w:val="24"/>
        </w:rPr>
      </w:pPr>
    </w:p>
    <w:p w:rsidR="00315BDA" w:rsidRDefault="00315BDA" w:rsidP="006817D8">
      <w:pPr>
        <w:spacing w:line="480" w:lineRule="auto"/>
        <w:ind w:firstLine="720"/>
        <w:rPr>
          <w:rFonts w:asciiTheme="majorBidi" w:hAnsiTheme="majorBidi" w:cstheme="majorBidi"/>
          <w:sz w:val="24"/>
          <w:szCs w:val="24"/>
        </w:rPr>
      </w:pPr>
    </w:p>
    <w:p w:rsidR="00103EC6" w:rsidRPr="001D04C9" w:rsidRDefault="00103EC6" w:rsidP="006817D8">
      <w:pPr>
        <w:spacing w:line="480" w:lineRule="auto"/>
        <w:ind w:firstLine="720"/>
        <w:rPr>
          <w:rFonts w:asciiTheme="majorBidi" w:hAnsiTheme="majorBidi" w:cstheme="majorBidi"/>
          <w:sz w:val="24"/>
          <w:szCs w:val="24"/>
        </w:rPr>
      </w:pPr>
    </w:p>
    <w:sectPr w:rsidR="00103EC6" w:rsidRPr="001D04C9" w:rsidSect="001D04C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80E" w:rsidRDefault="0035080E" w:rsidP="001D04C9">
      <w:pPr>
        <w:spacing w:after="0" w:line="240" w:lineRule="auto"/>
      </w:pPr>
      <w:r>
        <w:separator/>
      </w:r>
    </w:p>
  </w:endnote>
  <w:endnote w:type="continuationSeparator" w:id="0">
    <w:p w:rsidR="0035080E" w:rsidRDefault="0035080E" w:rsidP="001D0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80E" w:rsidRDefault="0035080E" w:rsidP="001D04C9">
      <w:pPr>
        <w:spacing w:after="0" w:line="240" w:lineRule="auto"/>
      </w:pPr>
      <w:r>
        <w:separator/>
      </w:r>
    </w:p>
  </w:footnote>
  <w:footnote w:type="continuationSeparator" w:id="0">
    <w:p w:rsidR="0035080E" w:rsidRDefault="0035080E" w:rsidP="001D04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4C9" w:rsidRPr="001D04C9" w:rsidRDefault="001D04C9">
    <w:pPr>
      <w:pStyle w:val="Header"/>
      <w:rPr>
        <w:rFonts w:asciiTheme="majorBidi" w:hAnsiTheme="majorBidi" w:cstheme="majorBidi"/>
        <w:sz w:val="24"/>
        <w:szCs w:val="24"/>
      </w:rPr>
    </w:pPr>
    <w:r w:rsidRPr="001D04C9">
      <w:rPr>
        <w:rFonts w:asciiTheme="majorBidi" w:hAnsiTheme="majorBidi" w:cstheme="majorBidi"/>
        <w:sz w:val="24"/>
        <w:szCs w:val="24"/>
      </w:rPr>
      <w:t>People v. Lochtefeld (2000)</w:t>
    </w:r>
    <w:r>
      <w:rPr>
        <w:rFonts w:asciiTheme="majorBidi" w:hAnsiTheme="majorBidi" w:cstheme="majorBidi"/>
        <w:sz w:val="24"/>
        <w:szCs w:val="24"/>
      </w:rPr>
      <w:tab/>
    </w:r>
    <w:r>
      <w:rPr>
        <w:rFonts w:asciiTheme="majorBidi" w:hAnsiTheme="majorBidi" w:cstheme="majorBidi"/>
        <w:sz w:val="24"/>
        <w:szCs w:val="24"/>
      </w:rPr>
      <w:tab/>
    </w:r>
    <w:r w:rsidRPr="001D04C9">
      <w:rPr>
        <w:rFonts w:asciiTheme="majorBidi" w:hAnsiTheme="majorBidi" w:cstheme="majorBidi"/>
        <w:sz w:val="24"/>
        <w:szCs w:val="24"/>
      </w:rPr>
      <w:fldChar w:fldCharType="begin"/>
    </w:r>
    <w:r w:rsidRPr="001D04C9">
      <w:rPr>
        <w:rFonts w:asciiTheme="majorBidi" w:hAnsiTheme="majorBidi" w:cstheme="majorBidi"/>
        <w:sz w:val="24"/>
        <w:szCs w:val="24"/>
      </w:rPr>
      <w:instrText xml:space="preserve"> PAGE   \* MERGEFORMAT </w:instrText>
    </w:r>
    <w:r w:rsidRPr="001D04C9">
      <w:rPr>
        <w:rFonts w:asciiTheme="majorBidi" w:hAnsiTheme="majorBidi" w:cstheme="majorBidi"/>
        <w:sz w:val="24"/>
        <w:szCs w:val="24"/>
      </w:rPr>
      <w:fldChar w:fldCharType="separate"/>
    </w:r>
    <w:r w:rsidR="00BB16F6">
      <w:rPr>
        <w:rFonts w:asciiTheme="majorBidi" w:hAnsiTheme="majorBidi" w:cstheme="majorBidi"/>
        <w:noProof/>
        <w:sz w:val="24"/>
        <w:szCs w:val="24"/>
      </w:rPr>
      <w:t>5</w:t>
    </w:r>
    <w:r w:rsidRPr="001D04C9">
      <w:rPr>
        <w:rFonts w:asciiTheme="majorBidi" w:hAnsiTheme="majorBidi" w:cstheme="majorBidi"/>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4C9" w:rsidRPr="001D04C9" w:rsidRDefault="001D04C9">
    <w:pPr>
      <w:pStyle w:val="Header"/>
      <w:rPr>
        <w:rFonts w:asciiTheme="majorBidi" w:hAnsiTheme="majorBidi" w:cstheme="majorBidi"/>
        <w:sz w:val="24"/>
        <w:szCs w:val="24"/>
      </w:rPr>
    </w:pPr>
    <w:r>
      <w:rPr>
        <w:rFonts w:asciiTheme="majorBidi" w:hAnsiTheme="majorBidi" w:cstheme="majorBidi"/>
        <w:sz w:val="24"/>
        <w:szCs w:val="24"/>
      </w:rPr>
      <w:t xml:space="preserve">Running Head: </w:t>
    </w:r>
    <w:r w:rsidRPr="001D04C9">
      <w:rPr>
        <w:rFonts w:asciiTheme="majorBidi" w:hAnsiTheme="majorBidi" w:cstheme="majorBidi"/>
        <w:sz w:val="24"/>
        <w:szCs w:val="24"/>
      </w:rPr>
      <w:t>People v. Lochtefeld (2000)</w:t>
    </w:r>
    <w:r>
      <w:rPr>
        <w:rFonts w:asciiTheme="majorBidi" w:hAnsiTheme="majorBidi" w:cstheme="majorBidi"/>
        <w:sz w:val="24"/>
        <w:szCs w:val="24"/>
      </w:rPr>
      <w:tab/>
    </w:r>
    <w:r>
      <w:rPr>
        <w:rFonts w:asciiTheme="majorBidi" w:hAnsiTheme="majorBidi" w:cstheme="majorBidi"/>
        <w:sz w:val="24"/>
        <w:szCs w:val="24"/>
      </w:rPr>
      <w:tab/>
    </w:r>
    <w:r w:rsidRPr="001D04C9">
      <w:rPr>
        <w:rFonts w:asciiTheme="majorBidi" w:hAnsiTheme="majorBidi" w:cstheme="majorBidi"/>
        <w:sz w:val="24"/>
        <w:szCs w:val="24"/>
      </w:rPr>
      <w:fldChar w:fldCharType="begin"/>
    </w:r>
    <w:r w:rsidRPr="001D04C9">
      <w:rPr>
        <w:rFonts w:asciiTheme="majorBidi" w:hAnsiTheme="majorBidi" w:cstheme="majorBidi"/>
        <w:sz w:val="24"/>
        <w:szCs w:val="24"/>
      </w:rPr>
      <w:instrText xml:space="preserve"> PAGE   \* MERGEFORMAT </w:instrText>
    </w:r>
    <w:r w:rsidRPr="001D04C9">
      <w:rPr>
        <w:rFonts w:asciiTheme="majorBidi" w:hAnsiTheme="majorBidi" w:cstheme="majorBidi"/>
        <w:sz w:val="24"/>
        <w:szCs w:val="24"/>
      </w:rPr>
      <w:fldChar w:fldCharType="separate"/>
    </w:r>
    <w:r w:rsidR="004E5580">
      <w:rPr>
        <w:rFonts w:asciiTheme="majorBidi" w:hAnsiTheme="majorBidi" w:cstheme="majorBidi"/>
        <w:noProof/>
        <w:sz w:val="24"/>
        <w:szCs w:val="24"/>
      </w:rPr>
      <w:t>1</w:t>
    </w:r>
    <w:r w:rsidRPr="001D04C9">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4C9"/>
    <w:rsid w:val="00000B44"/>
    <w:rsid w:val="00054FC2"/>
    <w:rsid w:val="00095CAF"/>
    <w:rsid w:val="000B51C5"/>
    <w:rsid w:val="000E1E28"/>
    <w:rsid w:val="00103EC6"/>
    <w:rsid w:val="00113711"/>
    <w:rsid w:val="0012292F"/>
    <w:rsid w:val="001C0F3E"/>
    <w:rsid w:val="001D04C9"/>
    <w:rsid w:val="00254278"/>
    <w:rsid w:val="002624CB"/>
    <w:rsid w:val="003014A8"/>
    <w:rsid w:val="00315BDA"/>
    <w:rsid w:val="003169FC"/>
    <w:rsid w:val="0032047E"/>
    <w:rsid w:val="0035080E"/>
    <w:rsid w:val="0039754C"/>
    <w:rsid w:val="003D2318"/>
    <w:rsid w:val="004006A9"/>
    <w:rsid w:val="0046691A"/>
    <w:rsid w:val="004E5580"/>
    <w:rsid w:val="00512F83"/>
    <w:rsid w:val="00547CD6"/>
    <w:rsid w:val="0061787B"/>
    <w:rsid w:val="00635047"/>
    <w:rsid w:val="006817D8"/>
    <w:rsid w:val="00687090"/>
    <w:rsid w:val="006E5088"/>
    <w:rsid w:val="00713435"/>
    <w:rsid w:val="00735D30"/>
    <w:rsid w:val="00770794"/>
    <w:rsid w:val="007B2E69"/>
    <w:rsid w:val="008639AE"/>
    <w:rsid w:val="00882CD9"/>
    <w:rsid w:val="009B63F4"/>
    <w:rsid w:val="00A05776"/>
    <w:rsid w:val="00B2147F"/>
    <w:rsid w:val="00B64008"/>
    <w:rsid w:val="00B953C6"/>
    <w:rsid w:val="00BB16F6"/>
    <w:rsid w:val="00C35013"/>
    <w:rsid w:val="00C47C97"/>
    <w:rsid w:val="00C9260F"/>
    <w:rsid w:val="00CA2606"/>
    <w:rsid w:val="00CB7E29"/>
    <w:rsid w:val="00CD7F24"/>
    <w:rsid w:val="00D26755"/>
    <w:rsid w:val="00D36BD2"/>
    <w:rsid w:val="00D411D3"/>
    <w:rsid w:val="00D867C9"/>
    <w:rsid w:val="00DA2B45"/>
    <w:rsid w:val="00E55125"/>
    <w:rsid w:val="00F027C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F22A42-C79B-4496-AEF8-78331618F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4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4C9"/>
    <w:rPr>
      <w:lang w:val="en-US"/>
    </w:rPr>
  </w:style>
  <w:style w:type="paragraph" w:styleId="Footer">
    <w:name w:val="footer"/>
    <w:basedOn w:val="Normal"/>
    <w:link w:val="FooterChar"/>
    <w:uiPriority w:val="99"/>
    <w:unhideWhenUsed/>
    <w:rsid w:val="001D0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4C9"/>
    <w:rPr>
      <w:lang w:val="en-US"/>
    </w:rPr>
  </w:style>
  <w:style w:type="paragraph" w:styleId="Bibliography">
    <w:name w:val="Bibliography"/>
    <w:basedOn w:val="Normal"/>
    <w:next w:val="Normal"/>
    <w:uiPriority w:val="37"/>
    <w:unhideWhenUsed/>
    <w:rsid w:val="00BB1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97927">
      <w:bodyDiv w:val="1"/>
      <w:marLeft w:val="0"/>
      <w:marRight w:val="0"/>
      <w:marTop w:val="0"/>
      <w:marBottom w:val="0"/>
      <w:divBdr>
        <w:top w:val="none" w:sz="0" w:space="0" w:color="auto"/>
        <w:left w:val="none" w:sz="0" w:space="0" w:color="auto"/>
        <w:bottom w:val="none" w:sz="0" w:space="0" w:color="auto"/>
        <w:right w:val="none" w:sz="0" w:space="0" w:color="auto"/>
      </w:divBdr>
    </w:div>
    <w:div w:id="164051659">
      <w:bodyDiv w:val="1"/>
      <w:marLeft w:val="0"/>
      <w:marRight w:val="0"/>
      <w:marTop w:val="0"/>
      <w:marBottom w:val="0"/>
      <w:divBdr>
        <w:top w:val="none" w:sz="0" w:space="0" w:color="auto"/>
        <w:left w:val="none" w:sz="0" w:space="0" w:color="auto"/>
        <w:bottom w:val="none" w:sz="0" w:space="0" w:color="auto"/>
        <w:right w:val="none" w:sz="0" w:space="0" w:color="auto"/>
      </w:divBdr>
    </w:div>
    <w:div w:id="447970371">
      <w:bodyDiv w:val="1"/>
      <w:marLeft w:val="0"/>
      <w:marRight w:val="0"/>
      <w:marTop w:val="0"/>
      <w:marBottom w:val="0"/>
      <w:divBdr>
        <w:top w:val="none" w:sz="0" w:space="0" w:color="auto"/>
        <w:left w:val="none" w:sz="0" w:space="0" w:color="auto"/>
        <w:bottom w:val="none" w:sz="0" w:space="0" w:color="auto"/>
        <w:right w:val="none" w:sz="0" w:space="0" w:color="auto"/>
      </w:divBdr>
    </w:div>
    <w:div w:id="583223013">
      <w:bodyDiv w:val="1"/>
      <w:marLeft w:val="0"/>
      <w:marRight w:val="0"/>
      <w:marTop w:val="0"/>
      <w:marBottom w:val="0"/>
      <w:divBdr>
        <w:top w:val="none" w:sz="0" w:space="0" w:color="auto"/>
        <w:left w:val="none" w:sz="0" w:space="0" w:color="auto"/>
        <w:bottom w:val="none" w:sz="0" w:space="0" w:color="auto"/>
        <w:right w:val="none" w:sz="0" w:space="0" w:color="auto"/>
      </w:divBdr>
    </w:div>
    <w:div w:id="738746790">
      <w:bodyDiv w:val="1"/>
      <w:marLeft w:val="0"/>
      <w:marRight w:val="0"/>
      <w:marTop w:val="0"/>
      <w:marBottom w:val="0"/>
      <w:divBdr>
        <w:top w:val="none" w:sz="0" w:space="0" w:color="auto"/>
        <w:left w:val="none" w:sz="0" w:space="0" w:color="auto"/>
        <w:bottom w:val="none" w:sz="0" w:space="0" w:color="auto"/>
        <w:right w:val="none" w:sz="0" w:space="0" w:color="auto"/>
      </w:divBdr>
    </w:div>
    <w:div w:id="915287046">
      <w:bodyDiv w:val="1"/>
      <w:marLeft w:val="0"/>
      <w:marRight w:val="0"/>
      <w:marTop w:val="0"/>
      <w:marBottom w:val="0"/>
      <w:divBdr>
        <w:top w:val="none" w:sz="0" w:space="0" w:color="auto"/>
        <w:left w:val="none" w:sz="0" w:space="0" w:color="auto"/>
        <w:bottom w:val="none" w:sz="0" w:space="0" w:color="auto"/>
        <w:right w:val="none" w:sz="0" w:space="0" w:color="auto"/>
      </w:divBdr>
    </w:div>
    <w:div w:id="1238326573">
      <w:bodyDiv w:val="1"/>
      <w:marLeft w:val="0"/>
      <w:marRight w:val="0"/>
      <w:marTop w:val="0"/>
      <w:marBottom w:val="0"/>
      <w:divBdr>
        <w:top w:val="none" w:sz="0" w:space="0" w:color="auto"/>
        <w:left w:val="none" w:sz="0" w:space="0" w:color="auto"/>
        <w:bottom w:val="none" w:sz="0" w:space="0" w:color="auto"/>
        <w:right w:val="none" w:sz="0" w:space="0" w:color="auto"/>
      </w:divBdr>
    </w:div>
    <w:div w:id="1571383023">
      <w:bodyDiv w:val="1"/>
      <w:marLeft w:val="0"/>
      <w:marRight w:val="0"/>
      <w:marTop w:val="0"/>
      <w:marBottom w:val="0"/>
      <w:divBdr>
        <w:top w:val="none" w:sz="0" w:space="0" w:color="auto"/>
        <w:left w:val="none" w:sz="0" w:space="0" w:color="auto"/>
        <w:bottom w:val="none" w:sz="0" w:space="0" w:color="auto"/>
        <w:right w:val="none" w:sz="0" w:space="0" w:color="auto"/>
      </w:divBdr>
    </w:div>
    <w:div w:id="1793553789">
      <w:bodyDiv w:val="1"/>
      <w:marLeft w:val="0"/>
      <w:marRight w:val="0"/>
      <w:marTop w:val="0"/>
      <w:marBottom w:val="0"/>
      <w:divBdr>
        <w:top w:val="none" w:sz="0" w:space="0" w:color="auto"/>
        <w:left w:val="none" w:sz="0" w:space="0" w:color="auto"/>
        <w:bottom w:val="none" w:sz="0" w:space="0" w:color="auto"/>
        <w:right w:val="none" w:sz="0" w:space="0" w:color="auto"/>
      </w:divBdr>
    </w:div>
    <w:div w:id="199907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Peo00</b:Tag>
    <b:SourceType>Case</b:SourceType>
    <b:Guid>{76E28975-3367-4793-BF53-365E24C46113}</b:Guid>
    <b:Title>People v. Lochtefeld </b:Title>
    <b:Year>2000</b:Year>
    <b:CaseNumber>D031877</b:CaseNumber>
    <b:Court>California Court of Appeal</b:Court>
    <b:Month>January</b:Month>
    <b:Day>11</b:Day>
    <b:YearAccessed>2019</b:YearAccessed>
    <b:MonthAccessed>September </b:MonthAccessed>
    <b:DayAccessed>26</b:DayAccessed>
    <b:URL>https://law.justia.com/cases/california/court-of-appeal/4th/77/533.html</b:URL>
    <b:RefOrder>1</b:RefOrder>
  </b:Source>
</b:Sources>
</file>

<file path=customXml/itemProps1.xml><?xml version="1.0" encoding="utf-8"?>
<ds:datastoreItem xmlns:ds="http://schemas.openxmlformats.org/officeDocument/2006/customXml" ds:itemID="{CF31AAC1-93B7-4D4E-A0FC-36CDEE7A9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2056</TotalTime>
  <Pages>5</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37</cp:revision>
  <dcterms:created xsi:type="dcterms:W3CDTF">2019-09-25T11:15:00Z</dcterms:created>
  <dcterms:modified xsi:type="dcterms:W3CDTF">2019-09-26T21:31:00Z</dcterms:modified>
</cp:coreProperties>
</file>